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DIXONS COMMERCIAL INSURANCE BROKERS</w:t>
        <w:br/>
      </w:r>
      <w:r>
        <w:rPr>
          <w:b/>
          <w:sz w:val="44"/>
        </w:rPr>
        <w:t>Cyber Risk Assessment Workbook</w:t>
      </w:r>
    </w:p>
    <w:p>
      <w:r>
        <w:t>Prepared for: [COMPANY NAME]</w:t>
        <w:br/>
        <w:t>Owner: [NAME]</w:t>
        <w:br/>
        <w:t>Review Date: [DATE]</w:t>
      </w:r>
    </w:p>
    <w:p>
      <w:r>
        <w:br w:type="page"/>
      </w:r>
    </w:p>
    <w:p>
      <w:pPr>
        <w:pStyle w:val="Heading1"/>
      </w:pPr>
      <w:r>
        <w:t>Cyber Governance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User Awareness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MFA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Backups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Remote Working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Third Parties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Risk Scoring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 Garrod</dc:creator>
  <keywords/>
  <dc:description>generated by python-docx</dc:description>
  <lastModifiedBy>Matt Garrod</lastModifiedBy>
  <revision>1</revision>
  <dcterms:created xsi:type="dcterms:W3CDTF">2026-07-10T13:21:27.7707131Z</dcterms:created>
  <dcterms:modified xsi:type="dcterms:W3CDTF">2026-07-10T13:21:27.7707131Z</dcterms:modified>
  <category/>
</coreProperties>
</file>